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711AA" w14:textId="77777777" w:rsidR="000A6BFD" w:rsidRDefault="00000000">
      <w:pPr>
        <w:rPr>
          <w:rFonts w:cstheme="majorHAnsi"/>
          <w:b/>
          <w:bCs/>
          <w:sz w:val="28"/>
          <w:szCs w:val="28"/>
        </w:rPr>
      </w:pPr>
      <w:r>
        <w:rPr>
          <w:rFonts w:cstheme="majorHAnsi"/>
          <w:b/>
          <w:bCs/>
          <w:sz w:val="28"/>
          <w:szCs w:val="28"/>
        </w:rPr>
        <w:t>Objectifs opérationnels et évaluables de la prestation</w:t>
      </w:r>
    </w:p>
    <w:p w14:paraId="672A6659" w14:textId="77777777" w:rsidR="000A6BFD" w:rsidRDefault="000A6BFD"/>
    <w:p w14:paraId="0A37501D" w14:textId="77777777" w:rsidR="000A6BFD" w:rsidRDefault="000A6BFD"/>
    <w:p w14:paraId="5DAB6C7B" w14:textId="77777777" w:rsidR="000A6BFD" w:rsidRDefault="000A6BFD"/>
    <w:tbl>
      <w:tblPr>
        <w:tblStyle w:val="Grilledutableau"/>
        <w:tblpPr w:leftFromText="141" w:rightFromText="141" w:vertAnchor="text" w:horzAnchor="margin" w:tblpY="34"/>
        <w:tblW w:w="4994" w:type="pct"/>
        <w:tblLook w:val="04A0" w:firstRow="1" w:lastRow="0" w:firstColumn="1" w:lastColumn="0" w:noHBand="0" w:noVBand="1"/>
      </w:tblPr>
      <w:tblGrid>
        <w:gridCol w:w="4531"/>
        <w:gridCol w:w="3377"/>
        <w:gridCol w:w="1137"/>
      </w:tblGrid>
      <w:tr w:rsidR="000A6BFD" w14:paraId="66903F44" w14:textId="77777777" w:rsidTr="3DDEC3CB">
        <w:tc>
          <w:tcPr>
            <w:tcW w:w="5000" w:type="pct"/>
            <w:gridSpan w:val="3"/>
          </w:tcPr>
          <w:p w14:paraId="74970319" w14:textId="49D33785" w:rsidR="000A6BFD" w:rsidRDefault="66C5B4AC" w:rsidP="3DDEC3CB">
            <w:pPr>
              <w:spacing w:line="259" w:lineRule="auto"/>
            </w:pPr>
            <w:r w:rsidRPr="3DDEC3CB">
              <w:rPr>
                <w:b/>
                <w:bCs/>
              </w:rPr>
              <w:t>Programme PICSIS</w:t>
            </w:r>
          </w:p>
        </w:tc>
      </w:tr>
      <w:tr w:rsidR="000A6BFD" w14:paraId="5B126B77" w14:textId="77777777" w:rsidTr="3DDEC3CB">
        <w:tc>
          <w:tcPr>
            <w:tcW w:w="2505" w:type="pct"/>
          </w:tcPr>
          <w:p w14:paraId="40697AD2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Objectifs opérationnels</w:t>
            </w:r>
          </w:p>
        </w:tc>
        <w:tc>
          <w:tcPr>
            <w:tcW w:w="1867" w:type="pct"/>
          </w:tcPr>
          <w:p w14:paraId="65D3CBC3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Méthodes d’évaluation</w:t>
            </w:r>
          </w:p>
        </w:tc>
        <w:tc>
          <w:tcPr>
            <w:tcW w:w="629" w:type="pct"/>
          </w:tcPr>
          <w:p w14:paraId="47551202" w14:textId="77777777" w:rsidR="000A6BFD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Résultats</w:t>
            </w:r>
          </w:p>
        </w:tc>
      </w:tr>
      <w:tr w:rsidR="000A6BFD" w14:paraId="1DDD6216" w14:textId="77777777" w:rsidTr="3DDEC3CB">
        <w:tc>
          <w:tcPr>
            <w:tcW w:w="2505" w:type="pct"/>
            <w:vAlign w:val="center"/>
          </w:tcPr>
          <w:p w14:paraId="174E50E5" w14:textId="77777777" w:rsidR="004D1542" w:rsidRDefault="00000000" w:rsidP="004D1542">
            <w:r>
              <w:rPr>
                <w:b/>
                <w:bCs/>
              </w:rPr>
              <w:t xml:space="preserve">Évaluer </w:t>
            </w:r>
            <w:r w:rsidR="004D1542">
              <w:rPr>
                <w:b/>
                <w:bCs/>
              </w:rPr>
              <w:t>des connaissances sur :</w:t>
            </w:r>
          </w:p>
          <w:p w14:paraId="32822035" w14:textId="24F5A9F7" w:rsidR="004D1542" w:rsidRPr="004D1542" w:rsidRDefault="004D1542" w:rsidP="004D1542">
            <w:r w:rsidRPr="004D1542">
              <w:t>Les principes, l’état d’esprit et les processus de l’entretien motivationnel (EM)</w:t>
            </w:r>
          </w:p>
          <w:p w14:paraId="451A61E0" w14:textId="75849663" w:rsidR="004D1542" w:rsidRPr="004D1542" w:rsidRDefault="004D1542" w:rsidP="004D1542">
            <w:r w:rsidRPr="004D1542">
              <w:t>Les stades du changement et le repérage du discours-changement</w:t>
            </w:r>
            <w:r>
              <w:t xml:space="preserve"> vs. discours maintien</w:t>
            </w:r>
          </w:p>
          <w:p w14:paraId="595243B8" w14:textId="2029B94D" w:rsidR="000A6BFD" w:rsidRPr="004D1542" w:rsidRDefault="004D1542" w:rsidP="004D1542">
            <w:r w:rsidRPr="004D1542">
              <w:t>Les données probantes sur l’EM appliqué au décrochage scolaire</w:t>
            </w:r>
          </w:p>
        </w:tc>
        <w:tc>
          <w:tcPr>
            <w:tcW w:w="1867" w:type="pct"/>
            <w:vAlign w:val="center"/>
          </w:tcPr>
          <w:p w14:paraId="3A1BCE24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Positionnement avant-après</w:t>
            </w:r>
          </w:p>
          <w:p w14:paraId="13090A4B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Questions en groupe</w:t>
            </w:r>
          </w:p>
          <w:p w14:paraId="3CAE6FB9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QCM projetés</w:t>
            </w:r>
          </w:p>
        </w:tc>
        <w:tc>
          <w:tcPr>
            <w:tcW w:w="629" w:type="pct"/>
            <w:vAlign w:val="center"/>
          </w:tcPr>
          <w:p w14:paraId="02EB378F" w14:textId="77777777" w:rsidR="000A6BFD" w:rsidRDefault="000A6BFD"/>
        </w:tc>
      </w:tr>
      <w:tr w:rsidR="000A6BFD" w14:paraId="7135EB63" w14:textId="77777777" w:rsidTr="3DDEC3CB">
        <w:tc>
          <w:tcPr>
            <w:tcW w:w="2505" w:type="pct"/>
            <w:vAlign w:val="center"/>
          </w:tcPr>
          <w:p w14:paraId="2F6F770F" w14:textId="77777777" w:rsidR="004D1542" w:rsidRDefault="004D1542" w:rsidP="004D1542">
            <w:r>
              <w:rPr>
                <w:b/>
                <w:bCs/>
              </w:rPr>
              <w:t>Développer des savoir-faire concernant :</w:t>
            </w:r>
          </w:p>
          <w:p w14:paraId="62375A22" w14:textId="1DC581F7" w:rsidR="004D1542" w:rsidRPr="004D1542" w:rsidRDefault="004D1542" w:rsidP="004D1542">
            <w:r w:rsidRPr="004D1542">
              <w:t xml:space="preserve">La conduite d’un entretien </w:t>
            </w:r>
            <w:r w:rsidRPr="004D1542">
              <w:t xml:space="preserve">et les stratégies de communication active </w:t>
            </w:r>
            <w:r w:rsidRPr="004D1542">
              <w:t>(questions ouvertes, valorisations, écoute réflective, résumés)</w:t>
            </w:r>
          </w:p>
          <w:p w14:paraId="0089A279" w14:textId="3D17B566" w:rsidR="004D1542" w:rsidRPr="004D1542" w:rsidRDefault="004D1542" w:rsidP="004D1542">
            <w:r w:rsidRPr="004D1542">
              <w:t>L’usage des stratégies</w:t>
            </w:r>
            <w:r w:rsidRPr="004D1542">
              <w:t xml:space="preserve"> d’incitation au changement</w:t>
            </w:r>
            <w:r w:rsidRPr="004D1542">
              <w:t xml:space="preserve"> et du Demander-Fournir-Demander</w:t>
            </w:r>
          </w:p>
          <w:p w14:paraId="29F4CD29" w14:textId="3CB72CB8" w:rsidR="004D1542" w:rsidRPr="004D1542" w:rsidRDefault="004D1542" w:rsidP="004D1542">
            <w:r w:rsidRPr="004D1542">
              <w:t xml:space="preserve">Le repérage et le renforcement du discours-changement </w:t>
            </w:r>
            <w:r w:rsidRPr="004D1542">
              <w:t xml:space="preserve">via l’identification des </w:t>
            </w:r>
            <w:r w:rsidRPr="004D1542">
              <w:t>D</w:t>
            </w:r>
            <w:r w:rsidRPr="004D1542">
              <w:t xml:space="preserve">ésirs, </w:t>
            </w:r>
            <w:r w:rsidRPr="004D1542">
              <w:t>C</w:t>
            </w:r>
            <w:r w:rsidRPr="004D1542">
              <w:t xml:space="preserve">ompétences, </w:t>
            </w:r>
            <w:r w:rsidRPr="004D1542">
              <w:t>R</w:t>
            </w:r>
            <w:r w:rsidRPr="004D1542">
              <w:t xml:space="preserve">aisons et </w:t>
            </w:r>
            <w:r w:rsidRPr="004D1542">
              <w:t>B</w:t>
            </w:r>
            <w:r w:rsidRPr="004D1542">
              <w:t>esoins</w:t>
            </w:r>
            <w:r w:rsidRPr="004D1542">
              <w:t xml:space="preserve"> en situation de décrochage</w:t>
            </w:r>
          </w:p>
          <w:p w14:paraId="403D91E4" w14:textId="7E9A4B77" w:rsidR="000A6BFD" w:rsidRPr="004D1542" w:rsidRDefault="004D1542" w:rsidP="004D1542">
            <w:r w:rsidRPr="004D1542">
              <w:t>L’application des méthodes d’interventions brèves (FRAME)</w:t>
            </w:r>
          </w:p>
        </w:tc>
        <w:tc>
          <w:tcPr>
            <w:tcW w:w="1867" w:type="pct"/>
            <w:vAlign w:val="center"/>
          </w:tcPr>
          <w:p w14:paraId="2613F2FB" w14:textId="4D5DE74D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Jeux de rôle</w:t>
            </w:r>
            <w:r w:rsidR="004D1542">
              <w:t xml:space="preserve"> en binôme, trinôme et groupe complet</w:t>
            </w:r>
          </w:p>
          <w:p w14:paraId="477975A6" w14:textId="77777777" w:rsidR="000A6BFD" w:rsidRDefault="00000000">
            <w:pPr>
              <w:pStyle w:val="Paragraphedeliste"/>
              <w:numPr>
                <w:ilvl w:val="0"/>
                <w:numId w:val="7"/>
              </w:numPr>
            </w:pPr>
            <w:r>
              <w:t>Études de cas</w:t>
            </w:r>
          </w:p>
          <w:p w14:paraId="4BEFD98E" w14:textId="77777777" w:rsidR="004D1542" w:rsidRDefault="004D1542">
            <w:pPr>
              <w:pStyle w:val="Paragraphedeliste"/>
              <w:numPr>
                <w:ilvl w:val="0"/>
                <w:numId w:val="7"/>
              </w:numPr>
            </w:pPr>
            <w:r>
              <w:t>Analyse des pratiques</w:t>
            </w:r>
          </w:p>
          <w:p w14:paraId="43C5B4AE" w14:textId="1CAAA40F" w:rsidR="004D1542" w:rsidRDefault="004D1542">
            <w:pPr>
              <w:pStyle w:val="Paragraphedeliste"/>
              <w:numPr>
                <w:ilvl w:val="0"/>
                <w:numId w:val="7"/>
              </w:numPr>
            </w:pPr>
            <w:r>
              <w:t>Débriefings en plénière</w:t>
            </w:r>
          </w:p>
        </w:tc>
        <w:tc>
          <w:tcPr>
            <w:tcW w:w="629" w:type="pct"/>
            <w:vAlign w:val="center"/>
          </w:tcPr>
          <w:p w14:paraId="6A05A809" w14:textId="77777777" w:rsidR="000A6BFD" w:rsidRDefault="000A6BFD"/>
        </w:tc>
      </w:tr>
    </w:tbl>
    <w:p w14:paraId="5A39BBE3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41C8F396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2A3D3EC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D0B940D" w14:textId="77777777" w:rsidR="000A6BFD" w:rsidRDefault="000A6BFD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E27B00A" w14:textId="77777777" w:rsidR="000A6BFD" w:rsidRDefault="000A6BFD">
      <w:pPr>
        <w:sectPr w:rsidR="000A6BFD">
          <w:headerReference w:type="default" r:id="rId8"/>
          <w:footerReference w:type="default" r:id="rId9"/>
          <w:pgSz w:w="11900" w:h="16840"/>
          <w:pgMar w:top="1417" w:right="1417" w:bottom="1417" w:left="1417" w:header="708" w:footer="708" w:gutter="0"/>
          <w:cols w:space="708"/>
          <w:docGrid w:linePitch="360"/>
        </w:sectPr>
      </w:pPr>
    </w:p>
    <w:p w14:paraId="4437646B" w14:textId="77777777" w:rsidR="000A6BFD" w:rsidRDefault="00000000">
      <w:pPr>
        <w:pStyle w:val="Lgende"/>
        <w:keepNext/>
        <w:rPr>
          <w:b/>
          <w:bCs/>
          <w:i w:val="0"/>
          <w:iCs w:val="0"/>
          <w:color w:val="000000" w:themeColor="text1"/>
          <w:sz w:val="28"/>
          <w:szCs w:val="28"/>
        </w:rPr>
      </w:pPr>
      <w:r>
        <w:rPr>
          <w:b/>
          <w:bCs/>
          <w:i w:val="0"/>
          <w:iCs w:val="0"/>
          <w:color w:val="000000" w:themeColor="text1"/>
          <w:sz w:val="28"/>
          <w:szCs w:val="28"/>
        </w:rPr>
        <w:lastRenderedPageBreak/>
        <w:t>Déroulé Pédagogique</w:t>
      </w:r>
    </w:p>
    <w:tbl>
      <w:tblPr>
        <w:tblStyle w:val="Grilledutableau"/>
        <w:tblpPr w:leftFromText="141" w:rightFromText="141" w:vertAnchor="page" w:horzAnchor="margin" w:tblpY="665"/>
        <w:tblW w:w="0" w:type="auto"/>
        <w:tblLook w:val="04A0" w:firstRow="1" w:lastRow="0" w:firstColumn="1" w:lastColumn="0" w:noHBand="0" w:noVBand="1"/>
      </w:tblPr>
      <w:tblGrid>
        <w:gridCol w:w="1242"/>
        <w:gridCol w:w="2801"/>
        <w:gridCol w:w="6728"/>
        <w:gridCol w:w="3225"/>
      </w:tblGrid>
      <w:tr w:rsidR="000A6BFD" w14:paraId="1FFB755D" w14:textId="77777777" w:rsidTr="3DDEC3CB">
        <w:tc>
          <w:tcPr>
            <w:tcW w:w="13996" w:type="dxa"/>
            <w:gridSpan w:val="4"/>
          </w:tcPr>
          <w:p w14:paraId="5F0AD213" w14:textId="43DB11B0" w:rsidR="000A6BFD" w:rsidRDefault="6C29A814">
            <w:pPr>
              <w:rPr>
                <w:b/>
                <w:bCs/>
                <w:sz w:val="28"/>
                <w:szCs w:val="28"/>
              </w:rPr>
            </w:pPr>
            <w:r w:rsidRPr="6C29A814">
              <w:rPr>
                <w:b/>
                <w:bCs/>
                <w:sz w:val="28"/>
                <w:szCs w:val="28"/>
                <w:highlight w:val="yellow"/>
              </w:rPr>
              <w:lastRenderedPageBreak/>
              <w:t xml:space="preserve">Module 1 : </w:t>
            </w:r>
            <w:r w:rsidR="00E81A1E">
              <w:t xml:space="preserve"> </w:t>
            </w:r>
            <w:r w:rsidR="00E81A1E" w:rsidRPr="00E81A1E">
              <w:rPr>
                <w:b/>
                <w:bCs/>
                <w:sz w:val="28"/>
                <w:szCs w:val="28"/>
              </w:rPr>
              <w:t>de l’état d’esprit de l’EM à sa mise en œuvre en situation de décrochage scolaire</w:t>
            </w:r>
          </w:p>
        </w:tc>
      </w:tr>
      <w:tr w:rsidR="000A6BFD" w14:paraId="6619DBD6" w14:textId="77777777" w:rsidTr="3DDEC3CB">
        <w:tc>
          <w:tcPr>
            <w:tcW w:w="0" w:type="auto"/>
          </w:tcPr>
          <w:p w14:paraId="60061E4C" w14:textId="77777777" w:rsidR="000A6BFD" w:rsidRDefault="000A6BFD">
            <w:pPr>
              <w:rPr>
                <w:b/>
                <w:bCs/>
              </w:rPr>
            </w:pPr>
          </w:p>
        </w:tc>
        <w:tc>
          <w:tcPr>
            <w:tcW w:w="2801" w:type="dxa"/>
          </w:tcPr>
          <w:p w14:paraId="46BF4455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Objectifs pédagogiques</w:t>
            </w:r>
          </w:p>
        </w:tc>
        <w:tc>
          <w:tcPr>
            <w:tcW w:w="6728" w:type="dxa"/>
          </w:tcPr>
          <w:p w14:paraId="3837C405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Méthodes pédagogiques</w:t>
            </w:r>
          </w:p>
        </w:tc>
        <w:tc>
          <w:tcPr>
            <w:tcW w:w="3225" w:type="dxa"/>
          </w:tcPr>
          <w:p w14:paraId="2AE0A6E8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Support </w:t>
            </w:r>
          </w:p>
        </w:tc>
      </w:tr>
      <w:tr w:rsidR="000A6BFD" w14:paraId="280889DF" w14:textId="77777777" w:rsidTr="3DDEC3CB">
        <w:tc>
          <w:tcPr>
            <w:tcW w:w="0" w:type="auto"/>
          </w:tcPr>
          <w:p w14:paraId="535EE5FF" w14:textId="77777777" w:rsidR="000A6BFD" w:rsidRDefault="00000000">
            <w:r>
              <w:t>1</w:t>
            </w:r>
            <w:r>
              <w:rPr>
                <w:vertAlign w:val="superscript"/>
              </w:rPr>
              <w:t>ère</w:t>
            </w:r>
            <w:r>
              <w:t xml:space="preserve"> demi-</w:t>
            </w:r>
          </w:p>
          <w:p w14:paraId="57735EA1" w14:textId="77777777" w:rsidR="000A6BFD" w:rsidRDefault="00000000">
            <w:r>
              <w:t>journée</w:t>
            </w:r>
          </w:p>
        </w:tc>
        <w:tc>
          <w:tcPr>
            <w:tcW w:w="2801" w:type="dxa"/>
          </w:tcPr>
          <w:p w14:paraId="20E540BB" w14:textId="77777777" w:rsidR="004D1542" w:rsidRDefault="004D1542" w:rsidP="004D1542">
            <w:r>
              <w:t>Faire éprouver aux participants la différence entre convaincre et évoquer</w:t>
            </w:r>
          </w:p>
          <w:p w14:paraId="15F10999" w14:textId="77777777" w:rsidR="004D1542" w:rsidRDefault="004D1542" w:rsidP="004D1542">
            <w:r>
              <w:t>Initier les participants aux définitions, à l’état d’esprit et aux quatre processus de l’EM</w:t>
            </w:r>
          </w:p>
          <w:p w14:paraId="7EFE9CB0" w14:textId="5B09E6E1" w:rsidR="000A6BFD" w:rsidRDefault="004D1542" w:rsidP="004D1542">
            <w:r>
              <w:t>Situer l’EM au regard des connaissances sur la motivation, l’adolescence et le décrochage scolaire</w:t>
            </w:r>
          </w:p>
        </w:tc>
        <w:tc>
          <w:tcPr>
            <w:tcW w:w="6728" w:type="dxa"/>
          </w:tcPr>
          <w:p w14:paraId="015309D5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Positionnement (10mn)</w:t>
            </w:r>
          </w:p>
          <w:p w14:paraId="69ACF3E3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Présentation des participants, recueil des attentes (20mn)</w:t>
            </w:r>
          </w:p>
          <w:p w14:paraId="2B153E8F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Jeu d’ouverture en binômes : consigne « convaincre » puis consigne « évoquer » (20mn)</w:t>
            </w:r>
          </w:p>
          <w:p w14:paraId="690DB2E3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Débriefing du jeu d’ouverture (15mn)</w:t>
            </w:r>
          </w:p>
          <w:p w14:paraId="4D949E7B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 xml:space="preserve">Contenu théorique : les trois définitions de l’EM, ses applications et les données probantes, dont le décrochage scolaire (Miller &amp; </w:t>
            </w:r>
            <w:proofErr w:type="spellStart"/>
            <w:r>
              <w:t>Rollnick</w:t>
            </w:r>
            <w:proofErr w:type="spellEnd"/>
            <w:r>
              <w:t xml:space="preserve">, 2019 ; Naar-King &amp; Suarez, 2021 ; Raymondie &amp; </w:t>
            </w:r>
            <w:proofErr w:type="spellStart"/>
            <w:r>
              <w:t>Lecardeur</w:t>
            </w:r>
            <w:proofErr w:type="spellEnd"/>
            <w:r>
              <w:t>, 2025) (30mn)</w:t>
            </w:r>
          </w:p>
          <w:p w14:paraId="5990C3BA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Pause (15mn)</w:t>
            </w:r>
          </w:p>
          <w:p w14:paraId="21B197C1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Contenu théorique sur l’état d’esprit de l’EM : partenariat, non-jugement, évocation, altruisme (20mn)</w:t>
            </w:r>
          </w:p>
          <w:p w14:paraId="35179125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 xml:space="preserve">Rappels sur la motivation (théorie de l’autodétermination, </w:t>
            </w:r>
            <w:proofErr w:type="spellStart"/>
            <w:r>
              <w:t>Deci</w:t>
            </w:r>
            <w:proofErr w:type="spellEnd"/>
            <w:r>
              <w:t xml:space="preserve"> &amp; Ryan), l’adolescence et le décrochage scolaire (30mn)</w:t>
            </w:r>
          </w:p>
          <w:p w14:paraId="6427FD99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Les stades du changement (DiClemente et al., 2002) et atelier de repérage sur vignettes de décrochage (25mn)</w:t>
            </w:r>
          </w:p>
          <w:p w14:paraId="3CC43105" w14:textId="6D38C985" w:rsidR="000A6BFD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Les quatre processus de l’EM : engager, focaliser, évoquer, planifier (25mn)</w:t>
            </w:r>
          </w:p>
        </w:tc>
        <w:tc>
          <w:tcPr>
            <w:tcW w:w="3225" w:type="dxa"/>
          </w:tcPr>
          <w:p w14:paraId="419DAFF5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Questionnaire</w:t>
            </w:r>
          </w:p>
          <w:p w14:paraId="59741E99" w14:textId="590EC25B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Échanges en plénière</w:t>
            </w:r>
          </w:p>
          <w:p w14:paraId="56C6B031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Jeux de rôle en binômes</w:t>
            </w:r>
          </w:p>
          <w:p w14:paraId="1F623520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Échanges en plénière</w:t>
            </w:r>
          </w:p>
          <w:p w14:paraId="72098718" w14:textId="77777777" w:rsidR="004D1542" w:rsidRDefault="004D1542" w:rsidP="004D1542">
            <w:pPr>
              <w:pStyle w:val="Paragraphedeliste"/>
              <w:ind w:left="360"/>
            </w:pPr>
          </w:p>
          <w:p w14:paraId="159CC0A1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Vidéoprojeté</w:t>
            </w:r>
          </w:p>
          <w:p w14:paraId="39969636" w14:textId="77777777" w:rsidR="004D1542" w:rsidRDefault="004D1542" w:rsidP="004D1542">
            <w:pPr>
              <w:pStyle w:val="Paragraphedeliste"/>
              <w:ind w:left="360"/>
            </w:pPr>
          </w:p>
          <w:p w14:paraId="0498A8D7" w14:textId="77777777" w:rsidR="004D1542" w:rsidRDefault="004D1542" w:rsidP="004D1542">
            <w:pPr>
              <w:pStyle w:val="Paragraphedeliste"/>
              <w:ind w:left="360"/>
            </w:pPr>
          </w:p>
          <w:p w14:paraId="4DC186B9" w14:textId="77777777" w:rsidR="004D1542" w:rsidRDefault="004D1542" w:rsidP="004D1542">
            <w:pPr>
              <w:pStyle w:val="Paragraphedeliste"/>
              <w:ind w:left="360"/>
            </w:pPr>
          </w:p>
          <w:p w14:paraId="6527FEE9" w14:textId="77777777" w:rsidR="004D1542" w:rsidRDefault="004D1542" w:rsidP="004D1542">
            <w:pPr>
              <w:pStyle w:val="Paragraphedeliste"/>
              <w:ind w:left="360"/>
            </w:pPr>
          </w:p>
          <w:p w14:paraId="610D7885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Vidéoprojeté</w:t>
            </w:r>
          </w:p>
          <w:p w14:paraId="313E0E72" w14:textId="77777777" w:rsidR="004D1542" w:rsidRDefault="004D1542" w:rsidP="004D1542">
            <w:pPr>
              <w:pStyle w:val="Paragraphedeliste"/>
              <w:ind w:left="360"/>
            </w:pPr>
          </w:p>
          <w:p w14:paraId="5CD57D87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Vidéoprojeté</w:t>
            </w:r>
          </w:p>
          <w:p w14:paraId="053D7D83" w14:textId="77777777" w:rsidR="004D1542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Vidéoprojeté / Travail en sous-groupes et retours en plénière</w:t>
            </w:r>
          </w:p>
          <w:p w14:paraId="39E20149" w14:textId="2304B96C" w:rsidR="000A6BFD" w:rsidRDefault="004D1542" w:rsidP="004D1542">
            <w:pPr>
              <w:pStyle w:val="Paragraphedeliste"/>
              <w:numPr>
                <w:ilvl w:val="0"/>
                <w:numId w:val="5"/>
              </w:numPr>
            </w:pPr>
            <w:r>
              <w:t>Vidéoprojeté / Échanges en plénière</w:t>
            </w:r>
          </w:p>
        </w:tc>
      </w:tr>
      <w:tr w:rsidR="000A6BFD" w14:paraId="2BC31830" w14:textId="77777777" w:rsidTr="3DDEC3CB">
        <w:tc>
          <w:tcPr>
            <w:tcW w:w="0" w:type="auto"/>
          </w:tcPr>
          <w:p w14:paraId="5A85CBA4" w14:textId="77777777" w:rsidR="000A6BFD" w:rsidRDefault="00000000">
            <w:r>
              <w:t>2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50FE5773" w14:textId="77777777" w:rsidR="000A6BFD" w:rsidRDefault="00000000">
            <w:r>
              <w:t>journée</w:t>
            </w:r>
          </w:p>
        </w:tc>
        <w:tc>
          <w:tcPr>
            <w:tcW w:w="2801" w:type="dxa"/>
          </w:tcPr>
          <w:p w14:paraId="2BF07C96" w14:textId="77777777" w:rsidR="00770B12" w:rsidRDefault="00770B12" w:rsidP="00770B12">
            <w:r>
              <w:t xml:space="preserve">Développer les compétences de communication des participants : </w:t>
            </w:r>
            <w:proofErr w:type="spellStart"/>
            <w:r>
              <w:t>OuVER</w:t>
            </w:r>
            <w:proofErr w:type="spellEnd"/>
            <w:r>
              <w:t xml:space="preserve"> et DEARS</w:t>
            </w:r>
          </w:p>
          <w:p w14:paraId="43E85EFC" w14:textId="77777777" w:rsidR="00770B12" w:rsidRDefault="00770B12" w:rsidP="00770B12">
            <w:r>
              <w:t>Initier les participants à la transmission d’informations et de conseils respectueuse de l’autonomie</w:t>
            </w:r>
          </w:p>
          <w:p w14:paraId="58AFC203" w14:textId="4490B0E1" w:rsidR="000A6BFD" w:rsidRDefault="00770B12" w:rsidP="00770B12">
            <w:r>
              <w:lastRenderedPageBreak/>
              <w:t>Transposer les outils de l’EM à des situations concrètes de décrochage scolaire</w:t>
            </w:r>
          </w:p>
        </w:tc>
        <w:tc>
          <w:tcPr>
            <w:tcW w:w="6728" w:type="dxa"/>
          </w:tcPr>
          <w:p w14:paraId="7257C156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lastRenderedPageBreak/>
              <w:t>Reprise du contenu de la matinée et questions (10mn)</w:t>
            </w:r>
          </w:p>
          <w:p w14:paraId="2BA0F655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Contenu théorique et démonstration commentée d’</w:t>
            </w:r>
            <w:proofErr w:type="spellStart"/>
            <w:r w:rsidRPr="6C29A814">
              <w:rPr>
                <w:rFonts w:eastAsia="Times New Roman" w:cs="Arial"/>
                <w:color w:val="22272B"/>
              </w:rPr>
              <w:t>OuVER</w:t>
            </w:r>
            <w:proofErr w:type="spellEnd"/>
            <w:r w:rsidRPr="6C29A814">
              <w:rPr>
                <w:rFonts w:eastAsia="Times New Roman" w:cs="Arial"/>
                <w:color w:val="22272B"/>
              </w:rPr>
              <w:t xml:space="preserve"> : questions ouvertes, valorisations, écoute réflective, résumés (30mn)</w:t>
            </w:r>
          </w:p>
          <w:p w14:paraId="5916D88B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Mise en pratique d’</w:t>
            </w:r>
            <w:proofErr w:type="spellStart"/>
            <w:r w:rsidRPr="6C29A814">
              <w:rPr>
                <w:rFonts w:eastAsia="Times New Roman" w:cs="Arial"/>
                <w:color w:val="22272B"/>
              </w:rPr>
              <w:t>OuVER</w:t>
            </w:r>
            <w:proofErr w:type="spellEnd"/>
            <w:r w:rsidRPr="6C29A814">
              <w:rPr>
                <w:rFonts w:eastAsia="Times New Roman" w:cs="Arial"/>
                <w:color w:val="22272B"/>
              </w:rPr>
              <w:t xml:space="preserve"> en trinômes : locuteur, intervenant, observateur (30mn)</w:t>
            </w:r>
          </w:p>
          <w:p w14:paraId="5C7E3924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Débriefing en plénière (10mn)</w:t>
            </w:r>
          </w:p>
          <w:p w14:paraId="71630273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Pause (15mn)</w:t>
            </w:r>
          </w:p>
          <w:p w14:paraId="7E61F6F3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lastRenderedPageBreak/>
              <w:t>Contenu théorique sur DEARS : dissonance, empathie, ambivalence, résistance, auto-efficacité (20mn)</w:t>
            </w:r>
          </w:p>
          <w:p w14:paraId="0F4BCE2D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Contenu théorique et mise en pratique du Demander-Fournir-Demander en binômes (30mn)</w:t>
            </w:r>
          </w:p>
          <w:p w14:paraId="6A315E99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 xml:space="preserve">L’EM dans le contexte du décrochage scolaire : FRAMES, instillation de la dissonance par les valeurs, DCRB, ambivalence, divergence des objectifs et double casquette, sept points clés de Miller et </w:t>
            </w:r>
            <w:proofErr w:type="spellStart"/>
            <w:r w:rsidRPr="6C29A814">
              <w:rPr>
                <w:rFonts w:eastAsia="Times New Roman" w:cs="Arial"/>
                <w:color w:val="22272B"/>
              </w:rPr>
              <w:t>Rollnick</w:t>
            </w:r>
            <w:proofErr w:type="spellEnd"/>
            <w:r w:rsidRPr="6C29A814">
              <w:rPr>
                <w:rFonts w:eastAsia="Times New Roman" w:cs="Arial"/>
                <w:color w:val="22272B"/>
              </w:rPr>
              <w:t xml:space="preserve"> (35mn)</w:t>
            </w:r>
          </w:p>
          <w:p w14:paraId="03071403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  <w:rPr>
                <w:rFonts w:eastAsia="Times New Roman" w:cs="Arial"/>
                <w:color w:val="22272B"/>
              </w:rPr>
            </w:pPr>
            <w:r w:rsidRPr="6C29A814">
              <w:rPr>
                <w:rFonts w:eastAsia="Times New Roman" w:cs="Arial"/>
                <w:color w:val="22272B"/>
              </w:rPr>
              <w:t>Étude de cas en sous-groupes sur une situation de décrochage et restitution (20mn)</w:t>
            </w:r>
          </w:p>
          <w:p w14:paraId="1E4C1358" w14:textId="4197774E" w:rsidR="000A6BFD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Positionnement et satisfaction (10mn)</w:t>
            </w:r>
          </w:p>
        </w:tc>
        <w:tc>
          <w:tcPr>
            <w:tcW w:w="3225" w:type="dxa"/>
          </w:tcPr>
          <w:p w14:paraId="49E3A1AB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lastRenderedPageBreak/>
              <w:t>Échanges en plénière</w:t>
            </w:r>
          </w:p>
          <w:p w14:paraId="3CBDFBAE" w14:textId="77777777" w:rsidR="00770B12" w:rsidRP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Vidéoprojeté / Démonstration</w:t>
            </w:r>
          </w:p>
          <w:p w14:paraId="16C95E33" w14:textId="77777777" w:rsidR="00770B12" w:rsidRDefault="00770B12" w:rsidP="00770B12">
            <w:pPr>
              <w:pStyle w:val="Paragraphedeliste"/>
              <w:ind w:left="360"/>
            </w:pPr>
          </w:p>
          <w:p w14:paraId="5F6D24E4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Jeux de rôle et retours en plénière</w:t>
            </w:r>
          </w:p>
          <w:p w14:paraId="792D2122" w14:textId="77777777" w:rsid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Échanges en plénière</w:t>
            </w:r>
          </w:p>
          <w:p w14:paraId="535CFB2E" w14:textId="77777777" w:rsidR="00770B12" w:rsidRDefault="00770B12" w:rsidP="00770B12">
            <w:pPr>
              <w:pStyle w:val="Paragraphedeliste"/>
              <w:ind w:left="360"/>
            </w:pPr>
          </w:p>
          <w:p w14:paraId="27243C7C" w14:textId="77777777" w:rsidR="00770B12" w:rsidRDefault="00770B12" w:rsidP="00770B12">
            <w:pPr>
              <w:pStyle w:val="Paragraphedeliste"/>
              <w:ind w:left="360"/>
            </w:pPr>
          </w:p>
          <w:p w14:paraId="311CE7DB" w14:textId="77777777" w:rsidR="00770B12" w:rsidRP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lastRenderedPageBreak/>
              <w:t>Vidéoprojeté</w:t>
            </w:r>
          </w:p>
          <w:p w14:paraId="5DF23C0D" w14:textId="77777777" w:rsidR="00770B12" w:rsidRDefault="00770B12" w:rsidP="00770B12">
            <w:pPr>
              <w:pStyle w:val="Paragraphedeliste"/>
              <w:ind w:left="360"/>
            </w:pPr>
          </w:p>
          <w:p w14:paraId="02557AD0" w14:textId="234EE8E7" w:rsidR="00770B12" w:rsidRP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Vidéoprojeté / Jeux de rôle et retours en plénière</w:t>
            </w:r>
          </w:p>
          <w:p w14:paraId="0137B9E5" w14:textId="77777777" w:rsidR="00770B12" w:rsidRP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Vidéoprojeté / Échanges en plénière</w:t>
            </w:r>
          </w:p>
          <w:p w14:paraId="1748DE6E" w14:textId="77777777" w:rsidR="00770B12" w:rsidRDefault="00770B12" w:rsidP="00770B12">
            <w:pPr>
              <w:pStyle w:val="Paragraphedeliste"/>
              <w:ind w:left="360"/>
              <w:rPr>
                <w:rFonts w:eastAsia="Times New Roman" w:cs="Arial"/>
                <w:color w:val="22272B"/>
              </w:rPr>
            </w:pPr>
          </w:p>
          <w:p w14:paraId="01AB25E5" w14:textId="77777777" w:rsidR="00770B12" w:rsidRDefault="00770B12" w:rsidP="00770B12">
            <w:pPr>
              <w:pStyle w:val="Paragraphedeliste"/>
              <w:ind w:left="360"/>
            </w:pPr>
          </w:p>
          <w:p w14:paraId="51E337F1" w14:textId="1DD97BAA" w:rsidR="00770B12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Étude de cas et retours en plénière</w:t>
            </w:r>
          </w:p>
          <w:p w14:paraId="5A10248C" w14:textId="14E609C6" w:rsidR="000A6BFD" w:rsidRDefault="00770B12" w:rsidP="00770B12">
            <w:pPr>
              <w:pStyle w:val="Paragraphedeliste"/>
              <w:numPr>
                <w:ilvl w:val="0"/>
                <w:numId w:val="6"/>
              </w:numPr>
            </w:pPr>
            <w:r w:rsidRPr="6C29A814">
              <w:rPr>
                <w:rFonts w:eastAsia="Times New Roman" w:cs="Arial"/>
                <w:color w:val="22272B"/>
              </w:rPr>
              <w:t>Questionnaires</w:t>
            </w:r>
          </w:p>
        </w:tc>
      </w:tr>
    </w:tbl>
    <w:p w14:paraId="3656B9AB" w14:textId="77777777" w:rsidR="000A6BFD" w:rsidRDefault="000A6BFD"/>
    <w:p w14:paraId="4B99056E" w14:textId="77777777" w:rsidR="000A6BFD" w:rsidRDefault="000A6BFD">
      <w:pPr>
        <w:pStyle w:val="Lgende"/>
        <w:keepNext/>
        <w:rPr>
          <w:b/>
          <w:bCs/>
          <w:i w:val="0"/>
          <w:iCs w:val="0"/>
          <w:color w:val="000000" w:themeColor="text1"/>
          <w:sz w:val="28"/>
          <w:szCs w:val="28"/>
        </w:rPr>
      </w:pPr>
    </w:p>
    <w:p w14:paraId="1299C43A" w14:textId="77777777" w:rsidR="000A6BFD" w:rsidRDefault="00000000">
      <w:r>
        <w:br w:type="page"/>
      </w:r>
    </w:p>
    <w:tbl>
      <w:tblPr>
        <w:tblStyle w:val="Grilledutableau"/>
        <w:tblpPr w:leftFromText="141" w:rightFromText="141" w:vertAnchor="page" w:horzAnchor="margin" w:tblpY="665"/>
        <w:tblW w:w="0" w:type="auto"/>
        <w:tblLook w:val="04A0" w:firstRow="1" w:lastRow="0" w:firstColumn="1" w:lastColumn="0" w:noHBand="0" w:noVBand="1"/>
      </w:tblPr>
      <w:tblGrid>
        <w:gridCol w:w="1242"/>
        <w:gridCol w:w="2801"/>
        <w:gridCol w:w="6728"/>
        <w:gridCol w:w="3225"/>
      </w:tblGrid>
      <w:tr w:rsidR="000A6BFD" w14:paraId="03B63098" w14:textId="77777777" w:rsidTr="3DDEC3CB">
        <w:tc>
          <w:tcPr>
            <w:tcW w:w="13996" w:type="dxa"/>
            <w:gridSpan w:val="4"/>
          </w:tcPr>
          <w:p w14:paraId="3B95C2CA" w14:textId="64553271" w:rsidR="000A6BFD" w:rsidRDefault="6C29A814">
            <w:pPr>
              <w:rPr>
                <w:b/>
                <w:bCs/>
                <w:sz w:val="28"/>
                <w:szCs w:val="28"/>
              </w:rPr>
            </w:pPr>
            <w:r w:rsidRPr="6C29A814">
              <w:rPr>
                <w:b/>
                <w:bCs/>
                <w:sz w:val="28"/>
                <w:szCs w:val="28"/>
                <w:highlight w:val="yellow"/>
              </w:rPr>
              <w:lastRenderedPageBreak/>
              <w:t xml:space="preserve">Module 2 : </w:t>
            </w:r>
            <w:r w:rsidR="00E81A1E">
              <w:rPr>
                <w:b/>
                <w:bCs/>
                <w:sz w:val="28"/>
                <w:szCs w:val="28"/>
              </w:rPr>
              <w:t>Analyse des pratiques</w:t>
            </w:r>
          </w:p>
        </w:tc>
      </w:tr>
      <w:tr w:rsidR="000A6BFD" w14:paraId="286AB333" w14:textId="77777777" w:rsidTr="3DDEC3CB">
        <w:tc>
          <w:tcPr>
            <w:tcW w:w="0" w:type="auto"/>
          </w:tcPr>
          <w:p w14:paraId="4DDBEF00" w14:textId="77777777" w:rsidR="000A6BFD" w:rsidRDefault="000A6BFD">
            <w:pPr>
              <w:rPr>
                <w:b/>
                <w:bCs/>
              </w:rPr>
            </w:pPr>
          </w:p>
        </w:tc>
        <w:tc>
          <w:tcPr>
            <w:tcW w:w="2801" w:type="dxa"/>
          </w:tcPr>
          <w:p w14:paraId="75CA3771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Objectifs pédagogiques</w:t>
            </w:r>
          </w:p>
        </w:tc>
        <w:tc>
          <w:tcPr>
            <w:tcW w:w="6728" w:type="dxa"/>
          </w:tcPr>
          <w:p w14:paraId="5082C6DE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Méthodes pédagogiques</w:t>
            </w:r>
          </w:p>
        </w:tc>
        <w:tc>
          <w:tcPr>
            <w:tcW w:w="3225" w:type="dxa"/>
          </w:tcPr>
          <w:p w14:paraId="4EF2C984" w14:textId="77777777" w:rsidR="000A6BFD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Support </w:t>
            </w:r>
          </w:p>
        </w:tc>
      </w:tr>
      <w:tr w:rsidR="000A6BFD" w14:paraId="1C8D9025" w14:textId="77777777" w:rsidTr="3DDEC3CB">
        <w:tc>
          <w:tcPr>
            <w:tcW w:w="0" w:type="auto"/>
          </w:tcPr>
          <w:p w14:paraId="78007F17" w14:textId="77777777" w:rsidR="000A6BFD" w:rsidRDefault="00000000">
            <w:r>
              <w:t>3</w:t>
            </w:r>
            <w:r>
              <w:rPr>
                <w:vertAlign w:val="superscript"/>
              </w:rPr>
              <w:t>ème</w:t>
            </w:r>
            <w:r>
              <w:t xml:space="preserve"> demi-</w:t>
            </w:r>
          </w:p>
          <w:p w14:paraId="0B7BD4C1" w14:textId="77777777" w:rsidR="000A6BFD" w:rsidRDefault="00000000">
            <w:r>
              <w:t>journée</w:t>
            </w:r>
          </w:p>
        </w:tc>
        <w:tc>
          <w:tcPr>
            <w:tcW w:w="2801" w:type="dxa"/>
          </w:tcPr>
          <w:p w14:paraId="3AD4FFAD" w14:textId="77777777" w:rsidR="00E81A1E" w:rsidRDefault="00E81A1E" w:rsidP="6C29A814">
            <w:pPr>
              <w:spacing w:line="259" w:lineRule="auto"/>
            </w:pPr>
            <w:r>
              <w:t>Analyser des situations professionnelles réelles apportées par les participants à la lumière des principes de l'EM</w:t>
            </w:r>
          </w:p>
          <w:p w14:paraId="513AF4A1" w14:textId="77777777" w:rsidR="00E81A1E" w:rsidRDefault="00E81A1E" w:rsidP="6C29A814">
            <w:pPr>
              <w:spacing w:line="259" w:lineRule="auto"/>
            </w:pPr>
            <w:r>
              <w:t>Identifier ses points d'appui et ses difficultés récurrentes en entretien</w:t>
            </w:r>
          </w:p>
          <w:p w14:paraId="389E7C17" w14:textId="4734D778" w:rsidR="000A6BFD" w:rsidRDefault="00E81A1E" w:rsidP="6C29A814">
            <w:pPr>
              <w:spacing w:line="259" w:lineRule="auto"/>
            </w:pPr>
            <w:r>
              <w:t xml:space="preserve"> Approfondir les situations d'ambivalence persistante et de divergence des objectifs</w:t>
            </w:r>
          </w:p>
        </w:tc>
        <w:tc>
          <w:tcPr>
            <w:tcW w:w="6728" w:type="dxa"/>
          </w:tcPr>
          <w:p w14:paraId="69F52EFB" w14:textId="19F26E24" w:rsidR="00E81A1E" w:rsidRDefault="00E81A1E" w:rsidP="00E81A1E">
            <w:pPr>
              <w:spacing w:line="259" w:lineRule="auto"/>
              <w:rPr>
                <w:rStyle w:val="lev"/>
              </w:rPr>
            </w:pPr>
            <w:r w:rsidRPr="00E81A1E">
              <w:t xml:space="preserve">• </w:t>
            </w:r>
            <w:r w:rsidRPr="00E81A1E">
              <w:rPr>
                <w:rStyle w:val="lev"/>
              </w:rPr>
              <w:t>Retour sur la mise en œuvre depuis les deux premières demi-journées : tour de table structuré, réussites et obstacles rencontrés (25mn)</w:t>
            </w:r>
          </w:p>
          <w:p w14:paraId="6750B8CF" w14:textId="26509C7B" w:rsidR="00E81A1E" w:rsidRDefault="00E81A1E" w:rsidP="00E81A1E">
            <w:pPr>
              <w:spacing w:line="259" w:lineRule="auto"/>
            </w:pPr>
            <w:r w:rsidRPr="00E81A1E">
              <w:t xml:space="preserve">• </w:t>
            </w:r>
            <w:r w:rsidRPr="00E81A1E">
              <w:rPr>
                <w:rStyle w:val="lev"/>
              </w:rPr>
              <w:t>Analyse de pratiques n°1 : exposé d'une situation par un participant, questionnement du groupe sans interprétation, formulation d'hypothèses, pistes de reprise en EM (45mn)</w:t>
            </w:r>
            <w:r w:rsidRPr="00E81A1E">
              <w:t xml:space="preserve"> </w:t>
            </w:r>
          </w:p>
          <w:p w14:paraId="63F34D15" w14:textId="77777777" w:rsidR="00E81A1E" w:rsidRDefault="00E81A1E" w:rsidP="00E81A1E">
            <w:pPr>
              <w:spacing w:line="259" w:lineRule="auto"/>
            </w:pPr>
            <w:r w:rsidRPr="00E81A1E">
              <w:t xml:space="preserve">• Pause (15mn) </w:t>
            </w:r>
          </w:p>
          <w:p w14:paraId="61910CC0" w14:textId="77777777" w:rsidR="00E81A1E" w:rsidRDefault="00E81A1E" w:rsidP="00E81A1E">
            <w:pPr>
              <w:spacing w:line="259" w:lineRule="auto"/>
            </w:pPr>
            <w:r w:rsidRPr="00E81A1E">
              <w:t xml:space="preserve">• </w:t>
            </w:r>
            <w:r w:rsidRPr="00E81A1E">
              <w:rPr>
                <w:rStyle w:val="lev"/>
              </w:rPr>
              <w:t>Analyse de pratiques n°2 : même protocole, seconde situation (45mn)</w:t>
            </w:r>
            <w:r w:rsidRPr="00E81A1E">
              <w:t xml:space="preserve"> </w:t>
            </w:r>
          </w:p>
          <w:p w14:paraId="42FAA07E" w14:textId="77777777" w:rsidR="00E81A1E" w:rsidRDefault="00E81A1E" w:rsidP="00E81A1E">
            <w:pPr>
              <w:spacing w:line="259" w:lineRule="auto"/>
            </w:pPr>
            <w:r w:rsidRPr="00E81A1E">
              <w:t xml:space="preserve">• </w:t>
            </w:r>
            <w:r w:rsidRPr="00E81A1E">
              <w:rPr>
                <w:rStyle w:val="lev"/>
              </w:rPr>
              <w:t>Jeu de rôle de reprise : rejouer un moment clé de la situation exposée, essayer deux variantes de réponse, débriefer l'effet produit (35mn)</w:t>
            </w:r>
            <w:r w:rsidRPr="00E81A1E">
              <w:t xml:space="preserve"> </w:t>
            </w:r>
          </w:p>
          <w:p w14:paraId="2A12CAAF" w14:textId="77777777" w:rsidR="00E81A1E" w:rsidRDefault="00E81A1E" w:rsidP="00E81A1E">
            <w:pPr>
              <w:spacing w:line="259" w:lineRule="auto"/>
            </w:pPr>
            <w:r w:rsidRPr="00E81A1E">
              <w:t xml:space="preserve">• Approfondissement à la demande du groupe : ambivalence persistante, objectifs divergents et double casquette, planification du changement (30mn) </w:t>
            </w:r>
          </w:p>
          <w:p w14:paraId="5FE6F900" w14:textId="77777777" w:rsidR="00E81A1E" w:rsidRDefault="00E81A1E" w:rsidP="00E81A1E">
            <w:pPr>
              <w:spacing w:line="259" w:lineRule="auto"/>
            </w:pPr>
            <w:r w:rsidRPr="00E81A1E">
              <w:t xml:space="preserve">• Synthèse : sept points clés de Miller et </w:t>
            </w:r>
            <w:proofErr w:type="spellStart"/>
            <w:r w:rsidRPr="00E81A1E">
              <w:t>Rollnick</w:t>
            </w:r>
            <w:proofErr w:type="spellEnd"/>
            <w:r w:rsidRPr="00E81A1E">
              <w:t xml:space="preserve">, formalisation d'un axe de progression individuel (10mn) </w:t>
            </w:r>
          </w:p>
          <w:p w14:paraId="3616A8AE" w14:textId="2DF660A9" w:rsidR="000A6BFD" w:rsidRPr="00E81A1E" w:rsidRDefault="00E81A1E" w:rsidP="00E81A1E">
            <w:pPr>
              <w:spacing w:line="259" w:lineRule="auto"/>
            </w:pPr>
            <w:r w:rsidRPr="00E81A1E">
              <w:t>• Positionnement et satisfaction (5mn)</w:t>
            </w:r>
          </w:p>
        </w:tc>
        <w:tc>
          <w:tcPr>
            <w:tcW w:w="3225" w:type="dxa"/>
          </w:tcPr>
          <w:p w14:paraId="55D498EF" w14:textId="77777777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 xml:space="preserve">Échanges en plénière </w:t>
            </w:r>
          </w:p>
          <w:p w14:paraId="50554519" w14:textId="77777777" w:rsidR="00E81A1E" w:rsidRDefault="00E81A1E" w:rsidP="00E81A1E"/>
          <w:p w14:paraId="3E3A4935" w14:textId="77777777" w:rsidR="00E81A1E" w:rsidRPr="00E81A1E" w:rsidRDefault="00E81A1E" w:rsidP="00E81A1E"/>
          <w:p w14:paraId="362A915E" w14:textId="51BD45FD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 xml:space="preserve">Analyse de pratiques en groupe complet  </w:t>
            </w:r>
          </w:p>
          <w:p w14:paraId="60D60C7F" w14:textId="77777777" w:rsidR="00E81A1E" w:rsidRDefault="00E81A1E" w:rsidP="00E81A1E"/>
          <w:p w14:paraId="3DFFD1F7" w14:textId="77777777" w:rsidR="00E81A1E" w:rsidRDefault="00E81A1E" w:rsidP="00E81A1E"/>
          <w:p w14:paraId="5D4A33CE" w14:textId="77777777" w:rsidR="00E81A1E" w:rsidRPr="00E81A1E" w:rsidRDefault="00E81A1E" w:rsidP="00E81A1E"/>
          <w:p w14:paraId="02DCF546" w14:textId="77777777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 xml:space="preserve">Analyse de pratiques en groupe complet </w:t>
            </w:r>
          </w:p>
          <w:p w14:paraId="4E39A20E" w14:textId="77777777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>Jeux de rôle et retours en plénière</w:t>
            </w:r>
          </w:p>
          <w:p w14:paraId="0C9D71E0" w14:textId="77777777" w:rsidR="00E81A1E" w:rsidRPr="00E81A1E" w:rsidRDefault="00E81A1E" w:rsidP="00E81A1E"/>
          <w:p w14:paraId="40D007EA" w14:textId="77777777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 xml:space="preserve">Vidéoprojeté / Échanges en plénière </w:t>
            </w:r>
          </w:p>
          <w:p w14:paraId="26CA2225" w14:textId="77777777" w:rsidR="00E81A1E" w:rsidRPr="00E81A1E" w:rsidRDefault="00E81A1E" w:rsidP="00E81A1E"/>
          <w:p w14:paraId="283E6B88" w14:textId="77777777" w:rsidR="00E81A1E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 xml:space="preserve">Vidéoprojeté / Écrit individuel </w:t>
            </w:r>
          </w:p>
          <w:p w14:paraId="6BC25157" w14:textId="652E541D" w:rsidR="000A6BFD" w:rsidRDefault="00E81A1E">
            <w:pPr>
              <w:pStyle w:val="Paragraphedeliste"/>
              <w:numPr>
                <w:ilvl w:val="0"/>
                <w:numId w:val="6"/>
              </w:numPr>
            </w:pPr>
            <w:r>
              <w:t>Questionnaires</w:t>
            </w:r>
          </w:p>
        </w:tc>
      </w:tr>
    </w:tbl>
    <w:p w14:paraId="61CDCEAD" w14:textId="77777777" w:rsidR="000A6BFD" w:rsidRDefault="000A6BFD"/>
    <w:p w14:paraId="23DE523C" w14:textId="16C268E5" w:rsidR="000A6BFD" w:rsidRDefault="000A6BFD" w:rsidP="6C29A814">
      <w:pPr>
        <w:sectPr w:rsidR="000A6BFD">
          <w:headerReference w:type="default" r:id="rId10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2E56223" w14:textId="77777777" w:rsidR="000A6BFD" w:rsidRDefault="000A6BFD">
      <w:pPr>
        <w:jc w:val="both"/>
      </w:pPr>
    </w:p>
    <w:sectPr w:rsidR="000A6BFD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EA1DD" w14:textId="77777777" w:rsidR="00D24EF5" w:rsidRDefault="00D24EF5">
      <w:r>
        <w:separator/>
      </w:r>
    </w:p>
  </w:endnote>
  <w:endnote w:type="continuationSeparator" w:id="0">
    <w:p w14:paraId="540096BE" w14:textId="77777777" w:rsidR="00D24EF5" w:rsidRDefault="00D24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BFF23" w14:textId="058D2DDA" w:rsidR="000A6BFD" w:rsidRDefault="6C29A814" w:rsidP="6C29A814">
    <w:pPr>
      <w:pStyle w:val="Pieddepage"/>
      <w:jc w:val="center"/>
      <w:rPr>
        <w:rFonts w:asciiTheme="majorHAnsi" w:hAnsiTheme="majorHAnsi" w:cstheme="majorBidi"/>
        <w:sz w:val="16"/>
        <w:szCs w:val="16"/>
      </w:rPr>
    </w:pPr>
    <w:proofErr w:type="spellStart"/>
    <w:r w:rsidRPr="6C29A814">
      <w:rPr>
        <w:rFonts w:asciiTheme="majorHAnsi" w:hAnsiTheme="majorHAnsi" w:cstheme="majorBidi"/>
        <w:sz w:val="16"/>
        <w:szCs w:val="16"/>
      </w:rPr>
      <w:t>DueL</w:t>
    </w:r>
    <w:proofErr w:type="spellEnd"/>
    <w:r w:rsidRPr="6C29A814">
      <w:rPr>
        <w:rFonts w:asciiTheme="majorHAnsi" w:hAnsiTheme="majorHAnsi" w:cstheme="majorBidi"/>
        <w:sz w:val="16"/>
        <w:szCs w:val="16"/>
      </w:rPr>
      <w:t xml:space="preserve"> Laurent Lecardeur - 08 Quai des Docks 06300 NICE- Version du 19/08/2026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1650F" w14:textId="77777777" w:rsidR="00D24EF5" w:rsidRDefault="00D24EF5">
      <w:r>
        <w:separator/>
      </w:r>
    </w:p>
  </w:footnote>
  <w:footnote w:type="continuationSeparator" w:id="0">
    <w:p w14:paraId="2AC872F6" w14:textId="77777777" w:rsidR="00D24EF5" w:rsidRDefault="00D24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29A814" w14:paraId="1BE571E3" w14:textId="77777777" w:rsidTr="6C29A814">
      <w:trPr>
        <w:trHeight w:val="300"/>
      </w:trPr>
      <w:tc>
        <w:tcPr>
          <w:tcW w:w="3020" w:type="dxa"/>
        </w:tcPr>
        <w:p w14:paraId="23E56A22" w14:textId="7E75064A" w:rsidR="6C29A814" w:rsidRDefault="6C29A814" w:rsidP="6C29A814">
          <w:pPr>
            <w:pStyle w:val="En-tte"/>
            <w:ind w:left="-115"/>
          </w:pPr>
        </w:p>
      </w:tc>
      <w:tc>
        <w:tcPr>
          <w:tcW w:w="3020" w:type="dxa"/>
        </w:tcPr>
        <w:p w14:paraId="189E68BB" w14:textId="335DCD72" w:rsidR="6C29A814" w:rsidRDefault="6C29A814" w:rsidP="6C29A814">
          <w:pPr>
            <w:pStyle w:val="En-tte"/>
            <w:jc w:val="center"/>
          </w:pPr>
        </w:p>
      </w:tc>
      <w:tc>
        <w:tcPr>
          <w:tcW w:w="3020" w:type="dxa"/>
        </w:tcPr>
        <w:p w14:paraId="344C8DB8" w14:textId="70CE5A1F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57B0B027" w14:textId="0CDE65E1" w:rsidR="6C29A814" w:rsidRDefault="6C29A814" w:rsidP="6C29A81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2"/>
      <w:gridCol w:w="3022"/>
      <w:gridCol w:w="3022"/>
    </w:tblGrid>
    <w:tr w:rsidR="6C29A814" w14:paraId="6D11682C" w14:textId="77777777" w:rsidTr="6C29A814">
      <w:trPr>
        <w:trHeight w:val="300"/>
      </w:trPr>
      <w:tc>
        <w:tcPr>
          <w:tcW w:w="4665" w:type="dxa"/>
        </w:tcPr>
        <w:p w14:paraId="64B8BC85" w14:textId="519AE8F3" w:rsidR="6C29A814" w:rsidRDefault="6C29A814" w:rsidP="6C29A814">
          <w:pPr>
            <w:pStyle w:val="En-tte"/>
            <w:ind w:left="-115"/>
          </w:pPr>
        </w:p>
      </w:tc>
      <w:tc>
        <w:tcPr>
          <w:tcW w:w="4665" w:type="dxa"/>
        </w:tcPr>
        <w:p w14:paraId="521504FD" w14:textId="398B75EE" w:rsidR="6C29A814" w:rsidRDefault="6C29A814" w:rsidP="6C29A814">
          <w:pPr>
            <w:pStyle w:val="En-tte"/>
            <w:jc w:val="center"/>
          </w:pPr>
        </w:p>
      </w:tc>
      <w:tc>
        <w:tcPr>
          <w:tcW w:w="4665" w:type="dxa"/>
        </w:tcPr>
        <w:p w14:paraId="59245FAF" w14:textId="3BB72F0A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03B7CFDC" w14:textId="6A3E072E" w:rsidR="6C29A814" w:rsidRDefault="6C29A814" w:rsidP="6C29A81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29A814" w14:paraId="42ACA14E" w14:textId="77777777" w:rsidTr="6C29A814">
      <w:trPr>
        <w:trHeight w:val="300"/>
      </w:trPr>
      <w:tc>
        <w:tcPr>
          <w:tcW w:w="3020" w:type="dxa"/>
        </w:tcPr>
        <w:p w14:paraId="7B9F6A43" w14:textId="10B2536C" w:rsidR="6C29A814" w:rsidRDefault="6C29A814" w:rsidP="6C29A814">
          <w:pPr>
            <w:pStyle w:val="En-tte"/>
            <w:ind w:left="-115"/>
          </w:pPr>
        </w:p>
      </w:tc>
      <w:tc>
        <w:tcPr>
          <w:tcW w:w="3020" w:type="dxa"/>
        </w:tcPr>
        <w:p w14:paraId="64764995" w14:textId="6E1AE85C" w:rsidR="6C29A814" w:rsidRDefault="6C29A814" w:rsidP="6C29A814">
          <w:pPr>
            <w:pStyle w:val="En-tte"/>
            <w:jc w:val="center"/>
          </w:pPr>
        </w:p>
      </w:tc>
      <w:tc>
        <w:tcPr>
          <w:tcW w:w="3020" w:type="dxa"/>
        </w:tcPr>
        <w:p w14:paraId="3B0E14EC" w14:textId="064910EA" w:rsidR="6C29A814" w:rsidRDefault="6C29A814" w:rsidP="6C29A814">
          <w:pPr>
            <w:pStyle w:val="En-tte"/>
            <w:ind w:right="-115"/>
            <w:jc w:val="right"/>
          </w:pPr>
        </w:p>
      </w:tc>
    </w:tr>
  </w:tbl>
  <w:p w14:paraId="70C0808A" w14:textId="18396186" w:rsidR="6C29A814" w:rsidRDefault="6C29A814" w:rsidP="6C29A81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EAF"/>
    <w:multiLevelType w:val="hybridMultilevel"/>
    <w:tmpl w:val="8ECCD25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734131"/>
    <w:multiLevelType w:val="hybridMultilevel"/>
    <w:tmpl w:val="8EAE40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E2120"/>
    <w:multiLevelType w:val="hybridMultilevel"/>
    <w:tmpl w:val="FD16D61A"/>
    <w:lvl w:ilvl="0" w:tplc="3E0816E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252B69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22C28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7C56E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641D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E2085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E8BB8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94091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B703A9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D7FF9"/>
    <w:multiLevelType w:val="hybridMultilevel"/>
    <w:tmpl w:val="B1B034E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3D1DA5"/>
    <w:multiLevelType w:val="hybridMultilevel"/>
    <w:tmpl w:val="532E8B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64A8C"/>
    <w:multiLevelType w:val="hybridMultilevel"/>
    <w:tmpl w:val="40A69C7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42677"/>
    <w:multiLevelType w:val="hybridMultilevel"/>
    <w:tmpl w:val="ADBC97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6613A8"/>
    <w:multiLevelType w:val="hybridMultilevel"/>
    <w:tmpl w:val="77D822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7991D"/>
    <w:multiLevelType w:val="hybridMultilevel"/>
    <w:tmpl w:val="D3026BDE"/>
    <w:lvl w:ilvl="0" w:tplc="9FCE33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83448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DC6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8B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69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6A0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CA2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0B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6A8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B15AF1"/>
    <w:multiLevelType w:val="hybridMultilevel"/>
    <w:tmpl w:val="1CBA74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216807"/>
    <w:multiLevelType w:val="hybridMultilevel"/>
    <w:tmpl w:val="630657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E70B3"/>
    <w:multiLevelType w:val="hybridMultilevel"/>
    <w:tmpl w:val="A71EC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C71767"/>
    <w:multiLevelType w:val="hybridMultilevel"/>
    <w:tmpl w:val="03EAA7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9C4AA0"/>
    <w:multiLevelType w:val="hybridMultilevel"/>
    <w:tmpl w:val="15D840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A7C9F"/>
    <w:multiLevelType w:val="hybridMultilevel"/>
    <w:tmpl w:val="624428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C26732"/>
    <w:multiLevelType w:val="hybridMultilevel"/>
    <w:tmpl w:val="882A2DB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26507E"/>
    <w:multiLevelType w:val="hybridMultilevel"/>
    <w:tmpl w:val="4BBCC6B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5E184E"/>
    <w:multiLevelType w:val="hybridMultilevel"/>
    <w:tmpl w:val="4FFCE3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B3C1F"/>
    <w:multiLevelType w:val="hybridMultilevel"/>
    <w:tmpl w:val="530EB4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550DF8"/>
    <w:multiLevelType w:val="hybridMultilevel"/>
    <w:tmpl w:val="1CF67D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9968">
    <w:abstractNumId w:val="8"/>
  </w:num>
  <w:num w:numId="2" w16cid:durableId="1835608853">
    <w:abstractNumId w:val="14"/>
  </w:num>
  <w:num w:numId="3" w16cid:durableId="214241414">
    <w:abstractNumId w:val="10"/>
  </w:num>
  <w:num w:numId="4" w16cid:durableId="229734962">
    <w:abstractNumId w:val="4"/>
  </w:num>
  <w:num w:numId="5" w16cid:durableId="1791699819">
    <w:abstractNumId w:val="5"/>
  </w:num>
  <w:num w:numId="6" w16cid:durableId="1030691893">
    <w:abstractNumId w:val="15"/>
  </w:num>
  <w:num w:numId="7" w16cid:durableId="109205534">
    <w:abstractNumId w:val="1"/>
  </w:num>
  <w:num w:numId="8" w16cid:durableId="1608350105">
    <w:abstractNumId w:val="13"/>
  </w:num>
  <w:num w:numId="9" w16cid:durableId="2002735408">
    <w:abstractNumId w:val="19"/>
  </w:num>
  <w:num w:numId="10" w16cid:durableId="1539004984">
    <w:abstractNumId w:val="7"/>
  </w:num>
  <w:num w:numId="11" w16cid:durableId="1896235423">
    <w:abstractNumId w:val="12"/>
  </w:num>
  <w:num w:numId="12" w16cid:durableId="1196112441">
    <w:abstractNumId w:val="16"/>
  </w:num>
  <w:num w:numId="13" w16cid:durableId="1204446184">
    <w:abstractNumId w:val="9"/>
  </w:num>
  <w:num w:numId="14" w16cid:durableId="799765165">
    <w:abstractNumId w:val="3"/>
  </w:num>
  <w:num w:numId="15" w16cid:durableId="1647321259">
    <w:abstractNumId w:val="0"/>
  </w:num>
  <w:num w:numId="16" w16cid:durableId="2146848863">
    <w:abstractNumId w:val="11"/>
  </w:num>
  <w:num w:numId="17" w16cid:durableId="385565933">
    <w:abstractNumId w:val="17"/>
  </w:num>
  <w:num w:numId="18" w16cid:durableId="1489403478">
    <w:abstractNumId w:val="2"/>
  </w:num>
  <w:num w:numId="19" w16cid:durableId="951133280">
    <w:abstractNumId w:val="6"/>
  </w:num>
  <w:num w:numId="20" w16cid:durableId="929580131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A02"/>
    <w:rsid w:val="00035BA8"/>
    <w:rsid w:val="000A6BFD"/>
    <w:rsid w:val="004D1542"/>
    <w:rsid w:val="005425CA"/>
    <w:rsid w:val="006327A5"/>
    <w:rsid w:val="00770B12"/>
    <w:rsid w:val="00D24EF5"/>
    <w:rsid w:val="00E65A02"/>
    <w:rsid w:val="00E81A1E"/>
    <w:rsid w:val="00FE32EA"/>
    <w:rsid w:val="00FE546D"/>
    <w:rsid w:val="01F659C0"/>
    <w:rsid w:val="0231104A"/>
    <w:rsid w:val="05025932"/>
    <w:rsid w:val="06AD83B0"/>
    <w:rsid w:val="079C39EC"/>
    <w:rsid w:val="082A8F6F"/>
    <w:rsid w:val="088005D6"/>
    <w:rsid w:val="09356325"/>
    <w:rsid w:val="0988B96A"/>
    <w:rsid w:val="0A9D1A06"/>
    <w:rsid w:val="0AA0E59B"/>
    <w:rsid w:val="0B2D5277"/>
    <w:rsid w:val="0BA46BE3"/>
    <w:rsid w:val="0BE71057"/>
    <w:rsid w:val="0C205523"/>
    <w:rsid w:val="0DD8DB03"/>
    <w:rsid w:val="0F70BE9D"/>
    <w:rsid w:val="105EFDD6"/>
    <w:rsid w:val="11FCAE77"/>
    <w:rsid w:val="13F118D7"/>
    <w:rsid w:val="14D499EB"/>
    <w:rsid w:val="16173426"/>
    <w:rsid w:val="17530BCF"/>
    <w:rsid w:val="187CFE6F"/>
    <w:rsid w:val="1AC85B59"/>
    <w:rsid w:val="1BCFC399"/>
    <w:rsid w:val="1C3A597D"/>
    <w:rsid w:val="1D434B62"/>
    <w:rsid w:val="1DFC0E0B"/>
    <w:rsid w:val="1E18FD1F"/>
    <w:rsid w:val="1FEEB77B"/>
    <w:rsid w:val="2198AB36"/>
    <w:rsid w:val="22060EBB"/>
    <w:rsid w:val="22BFD39B"/>
    <w:rsid w:val="2422CFF7"/>
    <w:rsid w:val="2487B17D"/>
    <w:rsid w:val="24EFF333"/>
    <w:rsid w:val="254049F5"/>
    <w:rsid w:val="2572079B"/>
    <w:rsid w:val="2872DA12"/>
    <w:rsid w:val="29422D9B"/>
    <w:rsid w:val="2B197836"/>
    <w:rsid w:val="2B5D6CC9"/>
    <w:rsid w:val="2C48000E"/>
    <w:rsid w:val="2C7A951D"/>
    <w:rsid w:val="2CBDB7BA"/>
    <w:rsid w:val="2DC25F4E"/>
    <w:rsid w:val="2E37ADF2"/>
    <w:rsid w:val="2E39FA6A"/>
    <w:rsid w:val="30BA3FCA"/>
    <w:rsid w:val="316C9137"/>
    <w:rsid w:val="31FD0C19"/>
    <w:rsid w:val="32868231"/>
    <w:rsid w:val="3457B225"/>
    <w:rsid w:val="355E05FB"/>
    <w:rsid w:val="36968738"/>
    <w:rsid w:val="3786BAA7"/>
    <w:rsid w:val="37BC5CFE"/>
    <w:rsid w:val="39A3C32D"/>
    <w:rsid w:val="3AB36B01"/>
    <w:rsid w:val="3B1905B1"/>
    <w:rsid w:val="3D14B139"/>
    <w:rsid w:val="3DDEC3CB"/>
    <w:rsid w:val="3EB33B5B"/>
    <w:rsid w:val="3F4CB758"/>
    <w:rsid w:val="4453EE26"/>
    <w:rsid w:val="486EC7D6"/>
    <w:rsid w:val="4A10D1F0"/>
    <w:rsid w:val="4ABB38AD"/>
    <w:rsid w:val="4B052EA2"/>
    <w:rsid w:val="4B61EF25"/>
    <w:rsid w:val="4E09B7F4"/>
    <w:rsid w:val="4E15B70B"/>
    <w:rsid w:val="4E88D625"/>
    <w:rsid w:val="4F10BD32"/>
    <w:rsid w:val="4F4AB5D1"/>
    <w:rsid w:val="4F735597"/>
    <w:rsid w:val="50A9EB9C"/>
    <w:rsid w:val="51B6DC3F"/>
    <w:rsid w:val="52ACB454"/>
    <w:rsid w:val="53415A12"/>
    <w:rsid w:val="542A8E0D"/>
    <w:rsid w:val="54A84FC1"/>
    <w:rsid w:val="56C81413"/>
    <w:rsid w:val="56E88D8A"/>
    <w:rsid w:val="5A047C68"/>
    <w:rsid w:val="5A0664BC"/>
    <w:rsid w:val="5A99048B"/>
    <w:rsid w:val="5B782351"/>
    <w:rsid w:val="5C97C325"/>
    <w:rsid w:val="5DAD21BB"/>
    <w:rsid w:val="5E605B81"/>
    <w:rsid w:val="5E7296EC"/>
    <w:rsid w:val="5FBB9D20"/>
    <w:rsid w:val="6140F6F9"/>
    <w:rsid w:val="64C3F20B"/>
    <w:rsid w:val="669FE31D"/>
    <w:rsid w:val="66C5B4AC"/>
    <w:rsid w:val="66E2B7C0"/>
    <w:rsid w:val="67B10CAF"/>
    <w:rsid w:val="67F593C3"/>
    <w:rsid w:val="67F9AC30"/>
    <w:rsid w:val="685FB2EB"/>
    <w:rsid w:val="692F4D00"/>
    <w:rsid w:val="694FB98A"/>
    <w:rsid w:val="6C00D896"/>
    <w:rsid w:val="6C29A814"/>
    <w:rsid w:val="6C7D461C"/>
    <w:rsid w:val="6DDAA2BD"/>
    <w:rsid w:val="70B8744E"/>
    <w:rsid w:val="70CAE07C"/>
    <w:rsid w:val="71E8539E"/>
    <w:rsid w:val="7248DCC4"/>
    <w:rsid w:val="73143B94"/>
    <w:rsid w:val="73E3FB93"/>
    <w:rsid w:val="74D559E6"/>
    <w:rsid w:val="763DE3C3"/>
    <w:rsid w:val="770116AE"/>
    <w:rsid w:val="775E0CE6"/>
    <w:rsid w:val="77A0A358"/>
    <w:rsid w:val="77BBC317"/>
    <w:rsid w:val="78A68300"/>
    <w:rsid w:val="79E8C4C0"/>
    <w:rsid w:val="7AB41A43"/>
    <w:rsid w:val="7BF1DA50"/>
    <w:rsid w:val="7C3F8032"/>
    <w:rsid w:val="7CDB9723"/>
    <w:rsid w:val="7E28D46B"/>
    <w:rsid w:val="7E4703DB"/>
    <w:rsid w:val="7E847BDF"/>
    <w:rsid w:val="7EC1B115"/>
    <w:rsid w:val="7FB0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59A8C"/>
  <w15:docId w15:val="{1CFA6B15-6754-004E-9296-D572F196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imes New Roman" w:hAnsi="Times New Roman" w:cs="Times New Roman"/>
      <w:sz w:val="18"/>
      <w:szCs w:val="18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39"/>
    <w:rPr>
      <w:rFonts w:eastAsiaTheme="minorEastAsia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paragraph" w:customStyle="1" w:styleId="m-1340883161156665624msolistparagraph">
    <w:name w:val="m_-1340883161156665624msolistparagraph"/>
    <w:basedOn w:val="Normal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apple-converted-space">
    <w:name w:val="apple-converted-space"/>
    <w:basedOn w:val="Policepardfaut"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  <w:rPr>
      <w:rFonts w:eastAsiaTheme="minorEastAsia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Pr>
      <w:rFonts w:eastAsiaTheme="minorEastAsia"/>
      <w:lang w:eastAsia="fr-FR"/>
    </w:rPr>
  </w:style>
  <w:style w:type="paragraph" w:styleId="Lgende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E81A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2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1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8326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6823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89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69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582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956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238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41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10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9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5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5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4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8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06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5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2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9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3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1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7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3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9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0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52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4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1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2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8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17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6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50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3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4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5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39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1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3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5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1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1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44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1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25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0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26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EBC7D-3D8F-41BC-B56F-573AED221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827</Words>
  <Characters>4550</Characters>
  <Application>Microsoft Office Word</Application>
  <DocSecurity>0</DocSecurity>
  <Lines>37</Lines>
  <Paragraphs>10</Paragraphs>
  <ScaleCrop>false</ScaleCrop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Gomez</dc:creator>
  <cp:keywords/>
  <dc:description/>
  <cp:lastModifiedBy>Romain Raymondie</cp:lastModifiedBy>
  <cp:revision>5</cp:revision>
  <dcterms:created xsi:type="dcterms:W3CDTF">2026-09-06T15:26:00Z</dcterms:created>
  <dcterms:modified xsi:type="dcterms:W3CDTF">2026-09-10T08:07:00Z</dcterms:modified>
</cp:coreProperties>
</file>